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48F" w:rsidRDefault="00637B96">
      <w:pPr>
        <w:pStyle w:val="20"/>
        <w:adjustRightInd w:val="0"/>
        <w:snapToGrid w:val="0"/>
        <w:spacing w:after="0" w:line="600" w:lineRule="exact"/>
        <w:ind w:leftChars="0" w:left="0"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DA448F" w:rsidRDefault="00DA448F">
      <w:pPr>
        <w:pStyle w:val="20"/>
        <w:ind w:firstLine="640"/>
        <w:rPr>
          <w:rFonts w:eastAsia="仿宋_GB2312"/>
          <w:sz w:val="32"/>
          <w:szCs w:val="32"/>
        </w:rPr>
      </w:pPr>
    </w:p>
    <w:p w:rsidR="00DA448F" w:rsidRDefault="00637B96">
      <w:pPr>
        <w:pStyle w:val="20"/>
        <w:ind w:leftChars="0" w:left="0"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药品抽检不符合规定汇总表</w:t>
      </w:r>
    </w:p>
    <w:tbl>
      <w:tblPr>
        <w:tblW w:w="13941" w:type="dxa"/>
        <w:jc w:val="center"/>
        <w:tblLayout w:type="fixed"/>
        <w:tblLook w:val="04A0" w:firstRow="1" w:lastRow="0" w:firstColumn="1" w:lastColumn="0" w:noHBand="0" w:noVBand="1"/>
      </w:tblPr>
      <w:tblGrid>
        <w:gridCol w:w="528"/>
        <w:gridCol w:w="1036"/>
        <w:gridCol w:w="1269"/>
        <w:gridCol w:w="1568"/>
        <w:gridCol w:w="1486"/>
        <w:gridCol w:w="1197"/>
        <w:gridCol w:w="2025"/>
        <w:gridCol w:w="1295"/>
        <w:gridCol w:w="1228"/>
        <w:gridCol w:w="1295"/>
        <w:gridCol w:w="1014"/>
      </w:tblGrid>
      <w:tr w:rsidR="00DA448F">
        <w:trPr>
          <w:trHeight w:val="734"/>
          <w:tblHeade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样品</w:t>
            </w:r>
          </w:p>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名称</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制剂规格</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产品批号</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检验结论</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药品不合格项目</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检验依据</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检验</w:t>
            </w:r>
          </w:p>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单位</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被抽样单位名称</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标示生产单位名称</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备注</w:t>
            </w:r>
          </w:p>
        </w:tc>
      </w:tr>
      <w:tr w:rsidR="00DA448F">
        <w:trPr>
          <w:trHeight w:val="152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杜仲</w:t>
            </w:r>
          </w:p>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（盐杜仲）</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22110109</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上海市浦东食品药品检验所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w:t>
            </w:r>
            <w:proofErr w:type="gramStart"/>
            <w:r>
              <w:rPr>
                <w:rFonts w:ascii="仿宋_GB2312" w:eastAsia="仿宋_GB2312" w:hAnsi="仿宋_GB2312" w:cs="仿宋_GB2312" w:hint="eastAsia"/>
                <w:color w:val="000000"/>
                <w:kern w:val="0"/>
                <w:sz w:val="24"/>
                <w:lang w:bidi="ar"/>
              </w:rPr>
              <w:t>益丰玖合</w:t>
            </w:r>
            <w:proofErr w:type="gramEnd"/>
            <w:r>
              <w:rPr>
                <w:rFonts w:ascii="仿宋_GB2312" w:eastAsia="仿宋_GB2312" w:hAnsi="仿宋_GB2312" w:cs="仿宋_GB2312" w:hint="eastAsia"/>
                <w:color w:val="000000"/>
                <w:kern w:val="0"/>
                <w:sz w:val="24"/>
                <w:lang w:bidi="ar"/>
              </w:rPr>
              <w:t>大药房店</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湖南振兴中药有限公司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393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红花</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2220801</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总灰分、酸不溶性灰分</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adjustRightInd w:val="0"/>
              <w:snapToGrid w:val="0"/>
              <w:spacing w:line="34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年版一部、国家药品监督管理局药品检验补充检验方法和检验项目批准件</w:t>
            </w:r>
            <w:r>
              <w:rPr>
                <w:rFonts w:ascii="仿宋_GB2312" w:eastAsia="仿宋_GB2312" w:hAnsi="仿宋_GB2312" w:cs="仿宋_GB2312" w:hint="eastAsia"/>
                <w:color w:val="000000"/>
                <w:kern w:val="0"/>
                <w:sz w:val="24"/>
                <w:lang w:bidi="ar"/>
              </w:rPr>
              <w:t>2007009</w:t>
            </w:r>
            <w:r>
              <w:rPr>
                <w:rFonts w:ascii="仿宋_GB2312" w:eastAsia="仿宋_GB2312" w:hAnsi="仿宋_GB2312" w:cs="仿宋_GB2312" w:hint="eastAsia"/>
                <w:color w:val="000000"/>
                <w:kern w:val="0"/>
                <w:sz w:val="24"/>
                <w:lang w:bidi="ar"/>
              </w:rPr>
              <w:t>、国家食品药品监督管理总局药品检验补充检验方法和检验项目批准件</w:t>
            </w:r>
            <w:r>
              <w:rPr>
                <w:rFonts w:ascii="仿宋_GB2312" w:eastAsia="仿宋_GB2312" w:hAnsi="仿宋_GB2312" w:cs="仿宋_GB2312" w:hint="eastAsia"/>
                <w:color w:val="000000"/>
                <w:kern w:val="0"/>
                <w:sz w:val="24"/>
                <w:lang w:bidi="ar"/>
              </w:rPr>
              <w:t>2014016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上海市崇明食品药品检验所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上海长华门诊部有限公司</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安徽孟氏中药饮片有限公司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2052"/>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3</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胖大海</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221202CP508</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上海市静安区食品药品检验所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国药控股国大复美大药房上海连锁有限公司东汉阳路店</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河北汉草堂药业有限公司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120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甘草</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pacing w:val="-11"/>
                <w:sz w:val="24"/>
              </w:rPr>
            </w:pPr>
            <w:r>
              <w:rPr>
                <w:rFonts w:ascii="仿宋_GB2312" w:eastAsia="仿宋_GB2312" w:hAnsi="仿宋_GB2312" w:cs="仿宋_GB2312" w:hint="eastAsia"/>
                <w:color w:val="000000"/>
                <w:spacing w:val="-11"/>
                <w:kern w:val="0"/>
                <w:sz w:val="24"/>
                <w:lang w:bidi="ar"/>
              </w:rPr>
              <w:t>G04220419-03</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性状</w:t>
            </w:r>
          </w:p>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（虫蛀）</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上海市浦东食品药品检验所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上海好药师天天好大药房有限公司</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甘肃九州天润中药产业有限公司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94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地黄</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SCT22061002</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性状</w:t>
            </w:r>
          </w:p>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（虫蛀）</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上海市浦东食品药品检验所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上海好药师天天好大药房有限公司</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安徽神草堂国药有限公司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126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山楂</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20230611</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水分</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上海市崇明食品药品检验所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上海市第一医药商店连锁经营有限公司友谊路药房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常州泰和国药制品有限公司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DA448F">
            <w:pPr>
              <w:jc w:val="center"/>
              <w:rPr>
                <w:rFonts w:ascii="仿宋_GB2312" w:eastAsia="仿宋_GB2312" w:hAnsi="仿宋_GB2312" w:cs="仿宋_GB2312"/>
                <w:color w:val="000000"/>
                <w:sz w:val="24"/>
              </w:rPr>
            </w:pPr>
          </w:p>
        </w:tc>
      </w:tr>
      <w:tr w:rsidR="00DA448F">
        <w:trPr>
          <w:trHeight w:val="63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鸦胆子</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中药饮片</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13052203</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性状、含量测定</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年版一部</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上海市金山食品药品检验所</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上海正知堂中医门诊部有限公司</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上海德大堂国药有限公司</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48F" w:rsidRDefault="00637B9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被抽样单位养护不当</w:t>
            </w:r>
          </w:p>
        </w:tc>
      </w:tr>
    </w:tbl>
    <w:p w:rsidR="00DA448F" w:rsidRDefault="00DA448F">
      <w:pPr>
        <w:pStyle w:val="20"/>
        <w:ind w:firstLine="640"/>
        <w:rPr>
          <w:rFonts w:eastAsia="仿宋_GB2312"/>
          <w:sz w:val="32"/>
          <w:szCs w:val="32"/>
        </w:rPr>
        <w:sectPr w:rsidR="00DA448F">
          <w:footerReference w:type="even" r:id="rId7"/>
          <w:footerReference w:type="default" r:id="rId8"/>
          <w:pgSz w:w="16838" w:h="11906" w:orient="landscape"/>
          <w:pgMar w:top="1587" w:right="1644" w:bottom="1474" w:left="1644" w:header="851" w:footer="964" w:gutter="0"/>
          <w:cols w:space="0"/>
          <w:docGrid w:linePitch="312"/>
        </w:sect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adjustRightInd w:val="0"/>
        <w:snapToGrid w:val="0"/>
        <w:spacing w:line="800" w:lineRule="exact"/>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ind w:firstLine="640"/>
        <w:rPr>
          <w:rFonts w:eastAsia="仿宋_GB2312"/>
          <w:sz w:val="32"/>
          <w:szCs w:val="32"/>
        </w:rPr>
      </w:pPr>
    </w:p>
    <w:p w:rsidR="00DA448F" w:rsidRDefault="00DA448F">
      <w:pPr>
        <w:pStyle w:val="20"/>
        <w:adjustRightInd w:val="0"/>
        <w:snapToGrid w:val="0"/>
        <w:spacing w:line="600" w:lineRule="exact"/>
        <w:ind w:firstLine="560"/>
        <w:rPr>
          <w:lang w:val="en-US"/>
        </w:rPr>
      </w:pPr>
    </w:p>
    <w:p w:rsidR="00DA448F" w:rsidRDefault="00637B96">
      <w:pPr>
        <w:overflowPunct w:val="0"/>
        <w:adjustRightInd w:val="0"/>
        <w:snapToGrid w:val="0"/>
        <w:spacing w:line="336" w:lineRule="auto"/>
        <w:ind w:leftChars="133" w:left="1119" w:rightChars="100" w:right="210" w:hangingChars="300" w:hanging="840"/>
        <w:rPr>
          <w:rFonts w:eastAsia="仿宋_GB2312"/>
          <w:kern w:val="0"/>
          <w:sz w:val="28"/>
          <w:szCs w:val="28"/>
        </w:rPr>
      </w:pPr>
      <w:r>
        <w:rPr>
          <w:rFonts w:eastAsia="仿宋_GB2312"/>
          <w:noProof/>
          <w:kern w:val="0"/>
          <w:sz w:val="28"/>
          <w:szCs w:val="28"/>
        </w:rPr>
        <mc:AlternateContent>
          <mc:Choice Requires="wps">
            <w:drawing>
              <wp:anchor distT="0" distB="0" distL="114300" distR="114300" simplePos="0" relativeHeight="251730944" behindDoc="0" locked="1" layoutInCell="1" allowOverlap="1">
                <wp:simplePos x="0" y="0"/>
                <wp:positionH relativeFrom="column">
                  <wp:posOffset>0</wp:posOffset>
                </wp:positionH>
                <wp:positionV relativeFrom="paragraph">
                  <wp:posOffset>-46990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34038A4" id="直接连接符 2"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0,-3.7pt" to="44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" strokeweight="1pt">
                <w10:anchorlock/>
              </v:line>
            </w:pict>
          </mc:Fallback>
        </mc:AlternateContent>
      </w:r>
      <w:r>
        <w:rPr>
          <w:rFonts w:eastAsia="仿宋_GB2312"/>
          <w:kern w:val="0"/>
          <w:sz w:val="28"/>
          <w:szCs w:val="28"/>
        </w:rPr>
        <w:t>抄送：</w:t>
      </w:r>
      <w:r>
        <w:rPr>
          <w:rFonts w:eastAsia="仿宋_GB2312" w:hint="eastAsia"/>
          <w:kern w:val="0"/>
          <w:sz w:val="28"/>
          <w:szCs w:val="28"/>
        </w:rPr>
        <w:t>上海市卫生健康委员会，上海市医疗保障局，上海市药品集中招标事务管理所</w:t>
      </w:r>
      <w:r>
        <w:rPr>
          <w:rFonts w:eastAsia="仿宋_GB2312"/>
          <w:kern w:val="0"/>
          <w:sz w:val="28"/>
          <w:szCs w:val="28"/>
        </w:rPr>
        <w:t>。</w:t>
      </w:r>
    </w:p>
    <w:p w:rsidR="00DA448F" w:rsidRDefault="00637B96">
      <w:pPr>
        <w:overflowPunct w:val="0"/>
        <w:adjustRightInd w:val="0"/>
        <w:snapToGrid w:val="0"/>
        <w:spacing w:line="336" w:lineRule="auto"/>
        <w:ind w:firstLine="284"/>
        <w:rPr>
          <w:rFonts w:eastAsia="仿宋_GB2312"/>
          <w:sz w:val="32"/>
          <w:szCs w:val="32"/>
        </w:rPr>
      </w:pPr>
      <w:r>
        <w:rPr>
          <w:rFonts w:eastAsia="仿宋_GB2312"/>
          <w:noProof/>
          <w:kern w:val="0"/>
          <w:sz w:val="28"/>
          <w:szCs w:val="28"/>
        </w:rPr>
        <mc:AlternateContent>
          <mc:Choice Requires="wps">
            <w:drawing>
              <wp:anchor distT="0" distB="0" distL="114300" distR="114300" simplePos="0" relativeHeight="251732992" behindDoc="0" locked="1" layoutInCell="1" allowOverlap="1">
                <wp:simplePos x="0" y="0"/>
                <wp:positionH relativeFrom="column">
                  <wp:posOffset>0</wp:posOffset>
                </wp:positionH>
                <wp:positionV relativeFrom="paragraph">
                  <wp:posOffset>-60960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4E51371B" id="直接连接符 1"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0,-4.8pt" to="44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" strokeweight=".5pt">
                <w10:anchorlock/>
              </v:line>
            </w:pict>
          </mc:Fallback>
        </mc:AlternateContent>
      </w:r>
      <w:r>
        <w:rPr>
          <w:rFonts w:eastAsia="仿宋_GB2312"/>
          <w:noProof/>
          <w:kern w:val="0"/>
          <w:sz w:val="28"/>
          <w:szCs w:val="28"/>
        </w:rPr>
        <mc:AlternateContent>
          <mc:Choice Requires="wps">
            <w:drawing>
              <wp:anchor distT="0" distB="0" distL="114300" distR="114300" simplePos="0" relativeHeight="251731968" behindDoc="0" locked="1" layoutInCell="1" allowOverlap="1">
                <wp:simplePos x="0" y="0"/>
                <wp:positionH relativeFrom="column">
                  <wp:posOffset>0</wp:posOffset>
                </wp:positionH>
                <wp:positionV relativeFrom="paragraph">
                  <wp:posOffset>253365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6C41CB3" id="直接连接符 5"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0,19.95pt" to="442.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" strokeweight="1pt">
                <w10:anchorlock/>
              </v:line>
            </w:pict>
          </mc:Fallback>
        </mc:AlternateContent>
      </w:r>
      <w:r>
        <w:rPr>
          <w:rFonts w:eastAsia="仿宋_GB2312"/>
          <w:kern w:val="0"/>
          <w:sz w:val="28"/>
          <w:szCs w:val="28"/>
        </w:rPr>
        <w:t>上海市药品监督管理局综合和规划财务处</w:t>
      </w:r>
      <w:r>
        <w:rPr>
          <w:rFonts w:eastAsia="仿宋_GB2312"/>
          <w:spacing w:val="-2"/>
          <w:kern w:val="0"/>
          <w:sz w:val="28"/>
          <w:szCs w:val="28"/>
        </w:rPr>
        <w:t xml:space="preserve"> </w:t>
      </w:r>
      <w:r>
        <w:rPr>
          <w:rFonts w:eastAsia="仿宋_GB2312" w:hint="eastAsia"/>
          <w:spacing w:val="-2"/>
          <w:kern w:val="0"/>
          <w:sz w:val="28"/>
          <w:szCs w:val="28"/>
        </w:rPr>
        <w:t xml:space="preserve"> </w:t>
      </w:r>
      <w:r>
        <w:rPr>
          <w:rFonts w:eastAsia="仿宋_GB2312"/>
          <w:spacing w:val="-2"/>
          <w:kern w:val="0"/>
          <w:sz w:val="28"/>
          <w:szCs w:val="28"/>
        </w:rPr>
        <w:t xml:space="preserve"> </w:t>
      </w:r>
      <w:r>
        <w:rPr>
          <w:rFonts w:eastAsia="仿宋_GB2312"/>
          <w:kern w:val="0"/>
          <w:sz w:val="28"/>
          <w:szCs w:val="28"/>
        </w:rPr>
        <w:t>20</w:t>
      </w:r>
      <w:r>
        <w:rPr>
          <w:rFonts w:eastAsia="仿宋_GB2312"/>
          <w:kern w:val="0"/>
          <w:sz w:val="28"/>
          <w:szCs w:val="28"/>
        </w:rPr>
        <w:t>23</w:t>
      </w:r>
      <w:r>
        <w:rPr>
          <w:rFonts w:eastAsia="仿宋_GB2312"/>
          <w:kern w:val="0"/>
          <w:sz w:val="28"/>
          <w:szCs w:val="28"/>
        </w:rPr>
        <w:t>年</w:t>
      </w:r>
      <w:r>
        <w:rPr>
          <w:rFonts w:eastAsia="仿宋_GB2312" w:hint="eastAsia"/>
          <w:kern w:val="0"/>
          <w:sz w:val="28"/>
          <w:szCs w:val="28"/>
        </w:rPr>
        <w:t>12</w:t>
      </w:r>
      <w:r>
        <w:rPr>
          <w:rFonts w:eastAsia="仿宋_GB2312"/>
          <w:kern w:val="0"/>
          <w:sz w:val="28"/>
          <w:szCs w:val="28"/>
        </w:rPr>
        <w:t>月</w:t>
      </w:r>
      <w:r>
        <w:rPr>
          <w:rFonts w:eastAsia="仿宋_GB2312"/>
          <w:kern w:val="0"/>
          <w:sz w:val="28"/>
          <w:szCs w:val="28"/>
        </w:rPr>
        <w:t>2</w:t>
      </w:r>
      <w:r>
        <w:rPr>
          <w:rFonts w:eastAsia="仿宋_GB2312" w:hint="eastAsia"/>
          <w:kern w:val="0"/>
          <w:sz w:val="28"/>
          <w:szCs w:val="28"/>
        </w:rPr>
        <w:t>2</w:t>
      </w:r>
      <w:r>
        <w:rPr>
          <w:rFonts w:eastAsia="仿宋_GB2312"/>
          <w:kern w:val="0"/>
          <w:sz w:val="28"/>
          <w:szCs w:val="28"/>
        </w:rPr>
        <w:t>日印发</w:t>
      </w:r>
      <w:r>
        <w:rPr>
          <w:rFonts w:eastAsia="仿宋_GB2312"/>
          <w:kern w:val="0"/>
          <w:sz w:val="28"/>
          <w:szCs w:val="28"/>
        </w:rPr>
        <w:t xml:space="preserve"> </w:t>
      </w:r>
      <w:r>
        <w:rPr>
          <w:rFonts w:hint="eastAsia"/>
        </w:rPr>
        <w:t xml:space="preserve"> </w:t>
      </w:r>
    </w:p>
    <w:sectPr w:rsidR="00DA448F">
      <w:pgSz w:w="11906" w:h="16838"/>
      <w:pgMar w:top="1644" w:right="1474" w:bottom="1644" w:left="1587" w:header="851" w:footer="96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B96" w:rsidRDefault="00637B96">
      <w:r>
        <w:separator/>
      </w:r>
    </w:p>
  </w:endnote>
  <w:endnote w:type="continuationSeparator" w:id="0">
    <w:p w:rsidR="00637B96" w:rsidRDefault="0063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方正楷体_GBK"/>
    <w:panose1 w:val="02010609060101010101"/>
    <w:charset w:val="86"/>
    <w:family w:val="modern"/>
    <w:pitch w:val="fixed"/>
    <w:sig w:usb0="800002BF" w:usb1="38CF7CFA" w:usb2="00000016" w:usb3="00000000" w:csb0="00040001" w:csb1="00000000"/>
  </w:font>
  <w:font w:name="FZXiaoBiaoSong-B05S">
    <w:altName w:val="微软雅黑"/>
    <w:charset w:val="86"/>
    <w:family w:val="swiss"/>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48F" w:rsidRDefault="00637B96">
    <w:pPr>
      <w:pStyle w:val="a8"/>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DA448F" w:rsidRDefault="00DA44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48F" w:rsidRDefault="00637B96">
    <w:pPr>
      <w:pStyle w:val="a8"/>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DA448F" w:rsidRDefault="00DA44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B96" w:rsidRDefault="00637B96">
      <w:r>
        <w:separator/>
      </w:r>
    </w:p>
  </w:footnote>
  <w:footnote w:type="continuationSeparator" w:id="0">
    <w:p w:rsidR="00637B96" w:rsidRDefault="0063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evenAndOddHeaders/>
  <w:drawingGridHorizontalSpacing w:val="21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A4BF5E28"/>
    <w:rsid w:val="ABFD9B64"/>
    <w:rsid w:val="B53CC890"/>
    <w:rsid w:val="BB397E00"/>
    <w:rsid w:val="BCA29C9F"/>
    <w:rsid w:val="BCE74242"/>
    <w:rsid w:val="BCEFA9E1"/>
    <w:rsid w:val="BDDD28E3"/>
    <w:rsid w:val="BDE44E5F"/>
    <w:rsid w:val="BDE55B55"/>
    <w:rsid w:val="BDFB3876"/>
    <w:rsid w:val="BDFB828B"/>
    <w:rsid w:val="C732B1C3"/>
    <w:rsid w:val="C7FFD6BA"/>
    <w:rsid w:val="CF7FE636"/>
    <w:rsid w:val="CFD9F80D"/>
    <w:rsid w:val="D3B293D3"/>
    <w:rsid w:val="DD77EEBD"/>
    <w:rsid w:val="DEFFCCF1"/>
    <w:rsid w:val="DFBDB320"/>
    <w:rsid w:val="E5FFD66A"/>
    <w:rsid w:val="E7DF50AE"/>
    <w:rsid w:val="E97B3229"/>
    <w:rsid w:val="EAFF9677"/>
    <w:rsid w:val="ED6FAF27"/>
    <w:rsid w:val="EDFE3F00"/>
    <w:rsid w:val="EE7BFF88"/>
    <w:rsid w:val="EEF61CEC"/>
    <w:rsid w:val="EFA3FF71"/>
    <w:rsid w:val="EFBB455B"/>
    <w:rsid w:val="EFF76E52"/>
    <w:rsid w:val="F33EA541"/>
    <w:rsid w:val="F37F7B29"/>
    <w:rsid w:val="F4B964F6"/>
    <w:rsid w:val="F6DE45F6"/>
    <w:rsid w:val="F6E9C1B1"/>
    <w:rsid w:val="F7B290FF"/>
    <w:rsid w:val="F7F5DC5C"/>
    <w:rsid w:val="F7FC96E1"/>
    <w:rsid w:val="F7FFA21C"/>
    <w:rsid w:val="F9A71594"/>
    <w:rsid w:val="F9DF1E0A"/>
    <w:rsid w:val="F9FF3B1F"/>
    <w:rsid w:val="FA2F2396"/>
    <w:rsid w:val="FAFFF895"/>
    <w:rsid w:val="FBB61E20"/>
    <w:rsid w:val="FBF7473E"/>
    <w:rsid w:val="FBF7E74C"/>
    <w:rsid w:val="FD73CF5B"/>
    <w:rsid w:val="FDBFA2DA"/>
    <w:rsid w:val="FDFF21F0"/>
    <w:rsid w:val="FDFF5133"/>
    <w:rsid w:val="FE77F224"/>
    <w:rsid w:val="FEDD5E61"/>
    <w:rsid w:val="FEFF5B2C"/>
    <w:rsid w:val="FEFFB14F"/>
    <w:rsid w:val="FF65E070"/>
    <w:rsid w:val="FFBE2AF2"/>
    <w:rsid w:val="FFD6539C"/>
    <w:rsid w:val="FFD9F648"/>
    <w:rsid w:val="FFEAC9ED"/>
    <w:rsid w:val="FFF33B27"/>
    <w:rsid w:val="FFF6B76B"/>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3E4D"/>
    <w:rsid w:val="00385D0C"/>
    <w:rsid w:val="00385D46"/>
    <w:rsid w:val="00387D76"/>
    <w:rsid w:val="00397249"/>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37B96"/>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48F"/>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07DF6E69"/>
    <w:rsid w:val="0D9A979B"/>
    <w:rsid w:val="18EF740F"/>
    <w:rsid w:val="1BEC26D7"/>
    <w:rsid w:val="1DD74D7B"/>
    <w:rsid w:val="1EFB1D1D"/>
    <w:rsid w:val="23AFE8D9"/>
    <w:rsid w:val="2B3D424D"/>
    <w:rsid w:val="2BFF2751"/>
    <w:rsid w:val="2DBF0A94"/>
    <w:rsid w:val="2EFB4012"/>
    <w:rsid w:val="2F597E78"/>
    <w:rsid w:val="2F986FA7"/>
    <w:rsid w:val="31B7B54F"/>
    <w:rsid w:val="37FF2B72"/>
    <w:rsid w:val="39E71552"/>
    <w:rsid w:val="3A6B7424"/>
    <w:rsid w:val="3AD7E5A5"/>
    <w:rsid w:val="3AFF924D"/>
    <w:rsid w:val="3B7FBCF8"/>
    <w:rsid w:val="3CFB3CF6"/>
    <w:rsid w:val="3CFDAF16"/>
    <w:rsid w:val="3DAE925C"/>
    <w:rsid w:val="3F6B4E20"/>
    <w:rsid w:val="3FFB3095"/>
    <w:rsid w:val="43FBB2B0"/>
    <w:rsid w:val="4A77FB81"/>
    <w:rsid w:val="4BAFD5D3"/>
    <w:rsid w:val="4DB7C608"/>
    <w:rsid w:val="4EAF91B5"/>
    <w:rsid w:val="51B58C7C"/>
    <w:rsid w:val="57BF9E01"/>
    <w:rsid w:val="5DFB2E8E"/>
    <w:rsid w:val="5F1F99B6"/>
    <w:rsid w:val="5F3ACD76"/>
    <w:rsid w:val="5FADB2F4"/>
    <w:rsid w:val="5FEE5239"/>
    <w:rsid w:val="5FEFF26D"/>
    <w:rsid w:val="677C36EA"/>
    <w:rsid w:val="6797496C"/>
    <w:rsid w:val="67FFDD0E"/>
    <w:rsid w:val="6C6A5440"/>
    <w:rsid w:val="6DBFBE73"/>
    <w:rsid w:val="6E5BAB66"/>
    <w:rsid w:val="6F970567"/>
    <w:rsid w:val="6FD5FBB5"/>
    <w:rsid w:val="729FA620"/>
    <w:rsid w:val="7375A0F6"/>
    <w:rsid w:val="753DA019"/>
    <w:rsid w:val="7571A9C6"/>
    <w:rsid w:val="7877B42F"/>
    <w:rsid w:val="789F5B52"/>
    <w:rsid w:val="7A6F687C"/>
    <w:rsid w:val="7AEB84F4"/>
    <w:rsid w:val="7AFFF83D"/>
    <w:rsid w:val="7BB71E13"/>
    <w:rsid w:val="7BF6C081"/>
    <w:rsid w:val="7D3ADC02"/>
    <w:rsid w:val="7DE5BB12"/>
    <w:rsid w:val="7DFFAD3B"/>
    <w:rsid w:val="7E9C465F"/>
    <w:rsid w:val="7F67B646"/>
    <w:rsid w:val="7F7FB8EC"/>
    <w:rsid w:val="7FE31DBA"/>
    <w:rsid w:val="7FF95EEC"/>
    <w:rsid w:val="7FFC0B06"/>
    <w:rsid w:val="7FFEE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39B16D0-AD63-48AF-B4A5-782EB5AB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qFormat="1"/>
    <w:lsdException w:name="Body Text First Indent 2" w:uiPriority="99" w:qFormat="1"/>
    <w:lsdException w:name="Body Text 2" w:uiPriority="99" w:unhideWhenUsed="1"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next w:val="20"/>
    <w:uiPriority w:val="99"/>
    <w:unhideWhenUsed/>
    <w:qFormat/>
    <w:pPr>
      <w:widowControl/>
      <w:ind w:firstLine="1840"/>
      <w:jc w:val="left"/>
    </w:pPr>
    <w:rPr>
      <w:rFonts w:ascii="Calibri" w:hAnsi="Calibri"/>
    </w:rPr>
  </w:style>
  <w:style w:type="paragraph" w:styleId="20">
    <w:name w:val="Body Text First Indent 2"/>
    <w:basedOn w:val="a3"/>
    <w:uiPriority w:val="99"/>
    <w:qFormat/>
    <w:pPr>
      <w:widowControl/>
      <w:spacing w:line="360" w:lineRule="auto"/>
      <w:ind w:firstLineChars="200" w:firstLine="420"/>
    </w:pPr>
    <w:rPr>
      <w:rFonts w:eastAsia="楷体"/>
      <w:kern w:val="0"/>
      <w:sz w:val="28"/>
      <w:szCs w:val="20"/>
      <w:lang w:val="zh-CN"/>
    </w:rPr>
  </w:style>
  <w:style w:type="paragraph" w:styleId="a3">
    <w:name w:val="Body Text Indent"/>
    <w:basedOn w:val="a"/>
    <w:uiPriority w:val="99"/>
    <w:unhideWhenUsed/>
    <w:qFormat/>
    <w:pPr>
      <w:spacing w:after="120"/>
      <w:ind w:leftChars="200" w:left="420"/>
    </w:pPr>
  </w:style>
  <w:style w:type="paragraph" w:styleId="a4">
    <w:name w:val="Normal Indent"/>
    <w:basedOn w:val="a"/>
    <w:qFormat/>
    <w:pPr>
      <w:ind w:firstLineChars="200" w:firstLine="420"/>
    </w:p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000FF"/>
      <w:u w:val="single"/>
    </w:rPr>
  </w:style>
  <w:style w:type="character" w:customStyle="1" w:styleId="ab">
    <w:name w:val="页眉 字符"/>
    <w:link w:val="aa"/>
    <w:qFormat/>
    <w:rPr>
      <w:kern w:val="2"/>
      <w:sz w:val="18"/>
      <w:szCs w:val="18"/>
    </w:rPr>
  </w:style>
  <w:style w:type="character" w:customStyle="1" w:styleId="a9">
    <w:name w:val="页脚 字符"/>
    <w:link w:val="a8"/>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6">
    <w:name w:val="日期 字符"/>
    <w:basedOn w:val="a0"/>
    <w:link w:val="a5"/>
    <w:qFormat/>
    <w:rPr>
      <w:kern w:val="2"/>
      <w:sz w:val="21"/>
      <w:szCs w:val="24"/>
    </w:rPr>
  </w:style>
  <w:style w:type="paragraph" w:styleId="af">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font01">
    <w:name w:val="font01"/>
    <w:basedOn w:val="a0"/>
    <w:qFormat/>
    <w:rPr>
      <w:rFonts w:ascii="微软雅黑" w:eastAsia="微软雅黑" w:hAnsi="微软雅黑" w:cs="微软雅黑"/>
      <w:b/>
      <w:color w:val="000000"/>
      <w:sz w:val="20"/>
      <w:szCs w:val="20"/>
      <w:u w:val="none"/>
    </w:rPr>
  </w:style>
  <w:style w:type="character" w:customStyle="1" w:styleId="font61">
    <w:name w:val="font61"/>
    <w:basedOn w:val="a0"/>
    <w:qFormat/>
    <w:rPr>
      <w:rFonts w:ascii="Arial" w:hAnsi="Arial" w:cs="Arial" w:hint="default"/>
      <w:b/>
      <w:color w:val="000000"/>
      <w:sz w:val="20"/>
      <w:szCs w:val="20"/>
      <w:u w:val="none"/>
    </w:rPr>
  </w:style>
  <w:style w:type="character" w:customStyle="1" w:styleId="font31">
    <w:name w:val="font31"/>
    <w:basedOn w:val="a0"/>
    <w:qFormat/>
    <w:rPr>
      <w:rFonts w:ascii="Arial" w:hAnsi="Arial" w:cs="Arial" w:hint="default"/>
      <w:color w:val="000000"/>
      <w:sz w:val="20"/>
      <w:szCs w:val="20"/>
      <w:u w:val="non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1">
    <w:name w:val="font11"/>
    <w:basedOn w:val="a0"/>
    <w:qFormat/>
    <w:rPr>
      <w:rFonts w:ascii="仿宋_GB2312" w:eastAsia="仿宋_GB2312" w:cs="仿宋_GB2312"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Words>
  <Characters>765</Characters>
  <Application>Microsoft Office Word</Application>
  <DocSecurity>0</DocSecurity>
  <Lines>6</Lines>
  <Paragraphs>1</Paragraphs>
  <ScaleCrop>false</ScaleCrop>
  <Company>Microsoft China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2</cp:revision>
  <cp:lastPrinted>2023-12-22T14:41:00Z</cp:lastPrinted>
  <dcterms:created xsi:type="dcterms:W3CDTF">2023-12-26T03:27:00Z</dcterms:created>
  <dcterms:modified xsi:type="dcterms:W3CDTF">2023-12-26T03:27:00Z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